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</w:t>
      </w:r>
      <w:r>
        <w:rPr>
          <w:rFonts w:ascii="黑体" w:hAnsi="宋体" w:eastAsia="黑体" w:cs="黑体"/>
          <w:sz w:val="28"/>
          <w:szCs w:val="28"/>
        </w:rPr>
        <w:t>1</w:t>
      </w:r>
      <w:r>
        <w:rPr>
          <w:rFonts w:hint="eastAsia" w:ascii="黑体" w:hAnsi="宋体" w:eastAsia="黑体" w:cs="黑体"/>
          <w:sz w:val="28"/>
          <w:szCs w:val="28"/>
        </w:rPr>
        <w:t>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</w:rPr>
        <w:t>年度便民服务大厅（运转）建设项目自评表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单位名称：柳林乡人民政府        填报日期：202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年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楷体_GB2312" w:hAnsi="仿宋" w:eastAsia="楷体_GB2312" w:cs="楷体_GB2312"/>
          <w:kern w:val="0"/>
          <w:sz w:val="28"/>
          <w:szCs w:val="28"/>
        </w:rPr>
        <w:t>月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5日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柳林乡政府便民服务大厅建设（运转）经费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竹山县财政局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柳林乡政府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、法定支出项目□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、县委、县政府确定的项目□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、其他项目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100％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维持便民服务大厅全年正常运转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100%　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6个村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6个村　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确保专项经费发挥最大效应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资金发挥作用明显　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群众满意度98％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群众满意度98％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ind w:firstLine="400" w:firstLineChars="2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根据项目完成进度，在年底完成全年项目指标。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无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widowControl/>
        <w:ind w:firstLine="420" w:firstLineChars="200"/>
        <w:rPr>
          <w:rFonts w:ascii="仿宋_GB2312" w:hAnsi="宋体" w:eastAsia="仿宋_GB2312" w:cs="仿宋_GB2312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B1C72"/>
    <w:rsid w:val="0021577E"/>
    <w:rsid w:val="004D6CB8"/>
    <w:rsid w:val="005E5C96"/>
    <w:rsid w:val="00715ECD"/>
    <w:rsid w:val="00A5417C"/>
    <w:rsid w:val="00AB25D5"/>
    <w:rsid w:val="0CE80180"/>
    <w:rsid w:val="244B1C72"/>
    <w:rsid w:val="53FC24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722</Words>
  <Characters>777</Characters>
  <Lines>6</Lines>
  <Paragraphs>1</Paragraphs>
  <TotalTime>3</TotalTime>
  <ScaleCrop>false</ScaleCrop>
  <LinksUpToDate>false</LinksUpToDate>
  <CharactersWithSpaces>812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2021-09-23T03:36:00Z</dcterms:created>
  <dc:creator>admin</dc:creator>
  <cp:lastModifiedBy>蜡笔小小尚</cp:lastModifiedBy>
  <dcterms:modified xsi:type="dcterms:W3CDTF">2022-04-26T07:24:16Z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7B0A440E6E3A4C818106FDB0EEF207C4</vt:lpwstr>
  </property>
</Properties>
</file>