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县发改局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政府信息公开工作年度报告</w:t>
      </w:r>
    </w:p>
    <w:bookmarkEnd w:id="0"/>
    <w:p>
      <w:pPr>
        <w:pStyle w:val="2"/>
        <w:widowControl/>
        <w:spacing w:line="560" w:lineRule="exact"/>
        <w:ind w:firstLine="420"/>
        <w:jc w:val="both"/>
        <w:rPr>
          <w:rFonts w:hint="eastAsia" w:ascii="宋体" w:hAnsi="宋体" w:cs="宋体"/>
          <w:color w:val="000000"/>
        </w:rPr>
      </w:pP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" w:beforeAutospacing="0" w:line="630" w:lineRule="atLeas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年，在县委、县政府的正确领导下，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  <w:lang w:eastAsia="zh-CN"/>
        </w:rPr>
        <w:t>县发改局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认真贯彻落实《中华人民共和国政府信息公开条例》有关精神，进一步规范公开内容、健全公开制度，拓展公开渠道，着力推进重点领域公开，及时、准确地向社会公开政府信息。公开内容主要包括:主动公开、依申请公开、政府信息管理、平台建设、监督保障情况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" w:beforeAutospacing="0" w:line="630" w:lineRule="atLeas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其中主动公开部分，根据《条例》有关精神，202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  <w:lang w:eastAsia="zh-CN"/>
        </w:rPr>
        <w:t>县发改局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主动公开内容如下:①机关职能、机构设置、办公地址、办公时间、联系方式、负责人姓名;②重大建设项目的批准和实施情况;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  <w:lang w:eastAsia="zh-CN"/>
        </w:rPr>
        <w:t>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价格收费标准清单、定价目录、成本监审报告、收费批复通知、价格监测等情况。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630" w:firstLineChars="30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630" w:firstLineChars="30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三、收到和处理政府信息公开申请情况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tbl>
      <w:tblPr>
        <w:tblStyle w:val="3"/>
        <w:tblW w:w="4857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8"/>
        <w:gridCol w:w="773"/>
        <w:gridCol w:w="2770"/>
        <w:gridCol w:w="573"/>
        <w:gridCol w:w="573"/>
        <w:gridCol w:w="573"/>
        <w:gridCol w:w="573"/>
        <w:gridCol w:w="573"/>
        <w:gridCol w:w="599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2464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8" w:type="pct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自然人</w:t>
            </w:r>
          </w:p>
        </w:tc>
        <w:tc>
          <w:tcPr>
            <w:tcW w:w="1756" w:type="pct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法人或其他组织</w:t>
            </w:r>
          </w:p>
        </w:tc>
        <w:tc>
          <w:tcPr>
            <w:tcW w:w="358" w:type="pct"/>
            <w:vMerge w:val="restart"/>
            <w:tcBorders>
              <w:top w:val="single" w:color="auto" w:sz="8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8" w:type="pct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8" w:type="pc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</w:t>
            </w:r>
          </w:p>
        </w:tc>
        <w:tc>
          <w:tcPr>
            <w:tcW w:w="348" w:type="pc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机构</w:t>
            </w:r>
          </w:p>
        </w:tc>
        <w:tc>
          <w:tcPr>
            <w:tcW w:w="348" w:type="pct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社会公益组织</w:t>
            </w:r>
          </w:p>
        </w:tc>
        <w:tc>
          <w:tcPr>
            <w:tcW w:w="348" w:type="pct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法律服务机构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8" w:type="pct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restart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（一）予以公开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（三）不予公开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1.属于国家秘密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2.其他法律行政法规禁止公开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3.危及“三安全一稳定”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4.保护第三方合法权益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5.属于三类内部事务信息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6.属于四类过程性信息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7.属于行政执法案卷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8.属于行政查询事项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（四）无法提供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1.本机关不掌握相关政府信息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2.没有现成信息需要另行制作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3.补正后申请内容仍不明确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（五）不予处理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1.信访举报投诉类申请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2.重复申请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3.要求提供公开出版物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4.无正当理由大量反复申请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348" w:type="pc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single" w:color="auto" w:sz="0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（六）其他处理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atLeast"/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3.其他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382" w:type="pct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（七）总计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四、结转下年度继续办理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四、政府信息公开行政复议、行政诉讼情况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560" w:lineRule="exact"/>
        <w:jc w:val="left"/>
        <w:rPr>
          <w:color w:val="000000"/>
        </w:rPr>
      </w:pP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信息公开不甚规范、信息量和信息公开覆盖面还不够广。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（二）整改措施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进一步提高认识，收集民意，及时公开群众最关心、最切身的政策文件，引导群众阅读政策信息，鼓励群众参与政策制定、落实、监督、整改的全过程。</w:t>
      </w:r>
    </w:p>
    <w:p>
      <w:pPr>
        <w:pStyle w:val="2"/>
        <w:widowControl/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" w:beforeAutospacing="0" w:line="630" w:lineRule="atLeas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暂无需要报告的其他事项。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25F609"/>
    <w:multiLevelType w:val="singleLevel"/>
    <w:tmpl w:val="D525F60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057D"/>
    <w:rsid w:val="06D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2022-02-25T07:04:00Z</dcterms:created>
  <dc:creator>苏醒</dc:creator>
  <cp:lastModifiedBy>苏醒</cp:lastModifiedBy>
  <dcterms:modified xsi:type="dcterms:W3CDTF">2022-02-25T07:04:55Z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97AFDBB5E55C4D42BA63C3CC20616F7E</vt:lpwstr>
  </property>
</Properties>
</file>