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79761">
      <w:p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76"/>
          <w:w w:val="60"/>
          <w:sz w:val="84"/>
          <w:szCs w:val="84"/>
          <w:u w:val="none"/>
        </w:rPr>
      </w:pPr>
      <w:bookmarkStart w:id="0" w:name="_GoBack"/>
      <w:bookmarkEnd w:id="0"/>
    </w:p>
    <w:p w14:paraId="5343561D">
      <w:pPr>
        <w:spacing w:line="360" w:lineRule="auto"/>
        <w:jc w:val="left"/>
        <w:rPr>
          <w:rFonts w:ascii="华文中宋" w:eastAsia="华文中宋"/>
          <w:b/>
          <w:bCs/>
          <w:color w:val="000000"/>
          <w:spacing w:val="-76"/>
          <w:w w:val="6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76"/>
          <w:w w:val="60"/>
          <w:sz w:val="142"/>
          <w:u w:val="none"/>
        </w:rPr>
        <w:pict>
          <v:shape id="_x0000_i1025" o:spt="136" type="#_x0000_t136" style="height:62pt;width:432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竹山县教育局文件" style="font-family:方正小标宋简体;font-size:54pt;v-text-align:center;"/>
            <v:shadow on="t" obscured="f" color="#B2B2B2" opacity="52428f" offset="0.000236220472440945pt,0pt" offset2="-2pt,-2pt"/>
            <w10:wrap type="none"/>
            <w10:anchorlock/>
          </v:shape>
        </w:pict>
      </w:r>
    </w:p>
    <w:p w14:paraId="02CCBD77">
      <w:pPr>
        <w:snapToGrid w:val="0"/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24590432">
      <w:pPr>
        <w:snapToGrid w:val="0"/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0F95DAB5">
      <w:pPr>
        <w:snapToGrid w:val="0"/>
        <w:spacing w:line="24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竹教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普</w:t>
      </w:r>
      <w:r>
        <w:rPr>
          <w:rFonts w:ascii="仿宋_GB2312" w:eastAsia="仿宋_GB2312"/>
          <w:color w:val="000000"/>
          <w:sz w:val="32"/>
          <w:szCs w:val="32"/>
        </w:rPr>
        <w:t>字〔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号</w:t>
      </w:r>
    </w:p>
    <w:p w14:paraId="75CA62F9">
      <w:pPr>
        <w:snapToGrid w:val="0"/>
        <w:spacing w:line="240" w:lineRule="auto"/>
        <w:rPr>
          <w:rFonts w:ascii="仿宋_GB2312"/>
          <w:color w:val="000000"/>
          <w:szCs w:val="32"/>
        </w:rPr>
      </w:pPr>
      <w:r>
        <w:rPr>
          <w:rFonts w:ascii="仿宋_GB2312"/>
          <w:b/>
          <w:color w:val="000000"/>
          <w:szCs w:val="32"/>
          <w:u w:val="thick" w:color="FF0000"/>
        </w:rPr>
        <w:t xml:space="preserve">                                                                                  </w:t>
      </w:r>
    </w:p>
    <w:p w14:paraId="2C4499E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24"/>
          <w:szCs w:val="24"/>
          <w:lang w:val="en-US" w:eastAsia="zh-CN"/>
        </w:rPr>
        <w:t xml:space="preserve">  </w:t>
      </w:r>
    </w:p>
    <w:p w14:paraId="05913B6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</w:t>
      </w:r>
    </w:p>
    <w:p w14:paraId="635C77EA"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县教育局关于保障进城务工人员随迁子女</w:t>
      </w:r>
    </w:p>
    <w:p w14:paraId="2C5F36FD"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平等接受义务教育的通知</w:t>
      </w:r>
    </w:p>
    <w:p w14:paraId="4D45364F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3A10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各乡镇中心学校、县直属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义务教育阶段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学校：</w:t>
      </w:r>
    </w:p>
    <w:p w14:paraId="1F389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为全面贯彻落实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和省、市教育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主管部门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关于进一步做好进城务工人员随迁子女（以下简称随迁子女）就学工作的通知精神，切实保障随迁子女平等接受义务教育，结合我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实际，现将有关要求通知如下：</w:t>
      </w:r>
    </w:p>
    <w:p w14:paraId="2B333EE7"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充分认识随迁子女就学工作的重要意义</w:t>
      </w:r>
    </w:p>
    <w:p w14:paraId="3FBBE2AB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保障随迁子女平等接受义务教育工作，是贯彻落实党的教育方针政策，着力保障和改善民生的一项重大举措；是加快推进我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城镇化建设进程，促进经济社会协调发展和城乡一体化建设的现实需要；是贯彻落实《义务教育法》，促进教育公平的具体体现。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各乡镇中心学校、县直属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义务教育阶段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要进一步统一思想，提高认识，坚持“统筹规划、正确引导、强化服务、规范管理”的发展思路，落实责任，完善措施，充分保障随迁子女平等接受义务教育，全面促进教育公平和全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城乡教育优质均衡发展。</w:t>
      </w:r>
    </w:p>
    <w:p w14:paraId="67588525"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二、继续坚持“两为主、两纳入”原则</w:t>
      </w:r>
    </w:p>
    <w:p w14:paraId="74C62B18">
      <w:pPr>
        <w:spacing w:line="560" w:lineRule="exact"/>
        <w:ind w:firstLine="643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一是坚持“两为主”原则</w:t>
      </w: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坚持“以流入地政府管理为主、以公办中小学为主”接收随迁子女入学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不断提高随迁子女在公办学校就读比例；在公办学校学位不足的情况下，可以通过政府购买民办义务教育学校学位的方式，安排随迁子女在民办学校就读，确保随迁子女“应入尽入”。</w:t>
      </w:r>
    </w:p>
    <w:p w14:paraId="086C4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坚持“两纳入”原则。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将常住人口纳入区域教育发展规划、将随迁子女教育纳入财政保障范围”的基本原则。根据城镇化发展需要，加强对义务教育随迁子女规模变化的动态监测，科学规划调整城镇义务教育学校布局，有序扩大城镇义务教育学位供给。</w:t>
      </w:r>
    </w:p>
    <w:p w14:paraId="6F9C688E"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三、进一步完善随迁子女入学办法</w:t>
      </w:r>
    </w:p>
    <w:p w14:paraId="42AD94F0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按照义务教育“以县为主、属地管理”的原则，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各乡镇中心学校、县直属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义务教育阶段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要切实落实义务教育招生工作中的主体责任，要根据本《通知》要求，结合各自实际，具体组织实施随迁子女接受义务教育工作。随迁子女入学条件及报名办法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p w14:paraId="4A165911">
      <w:pPr>
        <w:spacing w:line="560" w:lineRule="exact"/>
        <w:ind w:firstLine="643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城区义务教育阶段学校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随迁子女入学条件及报名办法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，严格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照《竹山县城区小学202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年一年级划片招生方案》（竹教字〔202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〕1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号）规定执行。</w:t>
      </w:r>
    </w:p>
    <w:p w14:paraId="69286D1C">
      <w:pPr>
        <w:spacing w:line="560" w:lineRule="exact"/>
        <w:ind w:firstLine="643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乡镇中心学校要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《竹山县城区小学202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年一年级划片招生方案》（竹教字〔202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〕1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有关要求，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制定本乡镇义务教育阶段学校划片招生方案，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严格落实以居住证为主要依据的随迁子女入学政策，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进一步完善本辖区内随迁子女入学具体办法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简化入学手续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指定随迁子女就读学校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确保其免试就近入学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FF0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各中小学通过部门数据共享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询核实的随迁子女相关信息，不得要求学生家长另行提供证明材料，如：转入学生可凭学生身份证号码等信息在学籍网查询其学籍信息的，不得要求学生家长另行提供证明材料；确实无法查询到结果的，可要求学生提供原就读学校学籍卡或学籍号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D330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、落实相关工作要求</w:t>
      </w:r>
    </w:p>
    <w:p w14:paraId="1319D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注重政策宣传。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信息公开，提前通过主流媒体、互联网、新媒体、社区公告栏和致家长一封信等多种途径，主动向社会公开随迁子女入学办法、报名方式、入学流程、工作要求、咨询方式以及监督举报平台等信息，尽可能扩大政策知晓度，使广大进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（乡镇）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务工人员了解相关政策，并引导其严格按政策办事，为随迁子女招生入学工作的顺利开展奠定基础。</w:t>
      </w:r>
    </w:p>
    <w:p w14:paraId="4C32FFF6">
      <w:pPr>
        <w:spacing w:line="560" w:lineRule="exact"/>
        <w:ind w:firstLine="60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强化督导检查。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县教育局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进一步加大对随迁子女入学工作的检查力度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将各义务教育阶段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保障随迁子女平等接受义务教育工作纳入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全县年度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教育工作目标考核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对于以各种理由刁难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拒收符合条件的随迁子女、向随迁子女收取与入学挂钩的费用等行为，予以严肃查处，并依规依纪追究相关责任人责任。</w:t>
      </w:r>
    </w:p>
    <w:p w14:paraId="18D63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加强教育关爱。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各中小学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认真落实有关政策规定，切实做好随迁子女控辍保学工作，加强学籍管理。建立健全随迁子女关爱帮扶机制；在教育教学、日常管理和评优评先工作中对随迁子女一视同仁、平等对待；加强对随迁子女在情感上、心理上、学习上、生活上的关心帮助，使他们更好地融入学习和生活，促进他们的健康成长。</w:t>
      </w:r>
    </w:p>
    <w:p w14:paraId="5071A4FF">
      <w:pPr>
        <w:spacing w:line="560" w:lineRule="exact"/>
        <w:ind w:firstLine="60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hAnsi="仿宋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形成育人合力。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各中小学要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建立随迁子女教育档案，加强与随迁子女家长的联系，及时将随迁子女的情况反馈给家长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帮助家长积极探索对随迁子女的教育及管理方法，促进家校合力育人。</w:t>
      </w:r>
    </w:p>
    <w:p w14:paraId="5AC554A7"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按时报送材料</w:t>
      </w:r>
    </w:p>
    <w:p w14:paraId="44963F93">
      <w:pPr>
        <w:spacing w:line="560" w:lineRule="exact"/>
        <w:ind w:firstLine="600"/>
        <w:rPr>
          <w:rFonts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2022年9月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日下午下班前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各乡镇中心学校、县直属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义务教育阶段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教育局基础教育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股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报送以下材料：</w:t>
      </w:r>
    </w:p>
    <w:p w14:paraId="362D7FC3">
      <w:pPr>
        <w:spacing w:line="560" w:lineRule="exact"/>
        <w:ind w:firstLine="600"/>
        <w:rPr>
          <w:rFonts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1.保障随迁子女平等接受义务教育工作方案或通知；</w:t>
      </w:r>
    </w:p>
    <w:p w14:paraId="2955AEFB">
      <w:pPr>
        <w:spacing w:line="560" w:lineRule="exact"/>
        <w:ind w:firstLine="600"/>
        <w:rPr>
          <w:rFonts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2.保障随迁子女平等接受义务教育工作进展情况报告；</w:t>
      </w:r>
    </w:p>
    <w:p w14:paraId="36D0832D">
      <w:pPr>
        <w:spacing w:line="560" w:lineRule="exact"/>
        <w:ind w:firstLine="600"/>
        <w:rPr>
          <w:rFonts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3.《2022年义务教育阶段进城务工人员随迁子女就学工作情况统计表》（见附件）。</w:t>
      </w:r>
    </w:p>
    <w:p w14:paraId="4D0A0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458661">
      <w:pPr>
        <w:pStyle w:val="2"/>
        <w:rPr>
          <w:rFonts w:hint="eastAsia"/>
        </w:rPr>
      </w:pPr>
    </w:p>
    <w:p w14:paraId="5019F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竹山县教育局</w:t>
      </w:r>
    </w:p>
    <w:p w14:paraId="71F7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190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B14800"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701" w:bottom="1984" w:left="1701" w:header="851" w:footer="992" w:gutter="0"/>
          <w:pgNumType w:fmt="numberInDash"/>
          <w:cols w:space="720" w:num="1"/>
          <w:docGrid w:type="lines" w:linePitch="312" w:charSpace="0"/>
        </w:sectPr>
      </w:pPr>
    </w:p>
    <w:p w14:paraId="72955780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57E04895"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2022年义务教育阶段进城务工人员随迁子女就学工作情况统计表</w:t>
      </w:r>
    </w:p>
    <w:p w14:paraId="1BDC5DBB">
      <w:pPr>
        <w:spacing w:line="56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填报单位（公章）：</w:t>
      </w:r>
      <w:r>
        <w:rPr>
          <w:rFonts w:hint="eastAsia" w:ascii="仿宋" w:hAnsi="仿宋" w:eastAsia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填报人：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__________    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填报时间：____________</w:t>
      </w:r>
    </w:p>
    <w:tbl>
      <w:tblPr>
        <w:tblStyle w:val="7"/>
        <w:tblW w:w="131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665"/>
        <w:gridCol w:w="2906"/>
        <w:gridCol w:w="1844"/>
        <w:gridCol w:w="1995"/>
        <w:gridCol w:w="1603"/>
        <w:gridCol w:w="1454"/>
      </w:tblGrid>
      <w:tr w14:paraId="2643A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0" w:type="dxa"/>
            <w:vMerge w:val="restart"/>
            <w:tcBorders>
              <w:right w:val="single" w:color="auto" w:sz="4" w:space="0"/>
            </w:tcBorders>
            <w:vAlign w:val="center"/>
          </w:tcPr>
          <w:p w14:paraId="631A852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5" w:type="dxa"/>
            <w:vMerge w:val="restart"/>
            <w:tcBorders>
              <w:left w:val="single" w:color="auto" w:sz="4" w:space="0"/>
            </w:tcBorders>
            <w:vAlign w:val="center"/>
          </w:tcPr>
          <w:p w14:paraId="50F54A4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本辖区内新增义务教育学位数量（针对所有学生）</w:t>
            </w:r>
          </w:p>
        </w:tc>
        <w:tc>
          <w:tcPr>
            <w:tcW w:w="2906" w:type="dxa"/>
            <w:vAlign w:val="center"/>
          </w:tcPr>
          <w:p w14:paraId="71B2DA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44" w:type="dxa"/>
            <w:vAlign w:val="center"/>
          </w:tcPr>
          <w:p w14:paraId="6AB79DE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7138A983">
            <w:pPr>
              <w:jc w:val="both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EEE6642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新增公办义务教育学位数量</w:t>
            </w:r>
          </w:p>
        </w:tc>
        <w:tc>
          <w:tcPr>
            <w:tcW w:w="1603" w:type="dxa"/>
            <w:vAlign w:val="center"/>
          </w:tcPr>
          <w:p w14:paraId="229CFE1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454" w:type="dxa"/>
            <w:vAlign w:val="center"/>
          </w:tcPr>
          <w:p w14:paraId="375EB0C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B1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 w14:paraId="71617B0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vMerge w:val="continue"/>
            <w:tcBorders>
              <w:left w:val="single" w:color="auto" w:sz="4" w:space="0"/>
            </w:tcBorders>
            <w:vAlign w:val="center"/>
          </w:tcPr>
          <w:p w14:paraId="4DCF40B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vAlign w:val="center"/>
          </w:tcPr>
          <w:p w14:paraId="619E6E8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44" w:type="dxa"/>
            <w:vAlign w:val="center"/>
          </w:tcPr>
          <w:p w14:paraId="35D828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22A0417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 w14:paraId="5989EC9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454" w:type="dxa"/>
            <w:vAlign w:val="center"/>
          </w:tcPr>
          <w:p w14:paraId="3676A03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130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 w14:paraId="16DD2BA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vMerge w:val="continue"/>
            <w:tcBorders>
              <w:left w:val="single" w:color="auto" w:sz="4" w:space="0"/>
            </w:tcBorders>
            <w:vAlign w:val="center"/>
          </w:tcPr>
          <w:p w14:paraId="30388A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vAlign w:val="center"/>
          </w:tcPr>
          <w:p w14:paraId="6C871FE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44" w:type="dxa"/>
            <w:vAlign w:val="center"/>
          </w:tcPr>
          <w:p w14:paraId="6E682A4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6C3EFF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 w14:paraId="67E0E5A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54" w:type="dxa"/>
            <w:vAlign w:val="center"/>
          </w:tcPr>
          <w:p w14:paraId="0D7235A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08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50" w:type="dxa"/>
            <w:vMerge w:val="restart"/>
            <w:tcBorders>
              <w:right w:val="single" w:color="auto" w:sz="4" w:space="0"/>
            </w:tcBorders>
            <w:vAlign w:val="center"/>
          </w:tcPr>
          <w:p w14:paraId="1B2BD6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vAlign w:val="center"/>
          </w:tcPr>
          <w:p w14:paraId="57F4EAE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本辖区内义务教育阶段</w:t>
            </w:r>
          </w:p>
          <w:p w14:paraId="7DAF634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进城务工人员随迁子女</w:t>
            </w:r>
          </w:p>
          <w:p w14:paraId="04188C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9802" w:type="dxa"/>
            <w:gridSpan w:val="5"/>
            <w:vAlign w:val="center"/>
          </w:tcPr>
          <w:p w14:paraId="078571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F0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 w14:paraId="10DE20F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vMerge w:val="restart"/>
            <w:tcBorders>
              <w:left w:val="single" w:color="auto" w:sz="4" w:space="0"/>
            </w:tcBorders>
            <w:vAlign w:val="center"/>
          </w:tcPr>
          <w:p w14:paraId="033E4CC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进城务工人员随迁子女在公办义务教育学校就读</w:t>
            </w:r>
          </w:p>
          <w:p w14:paraId="69DFABB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906" w:type="dxa"/>
            <w:vAlign w:val="center"/>
          </w:tcPr>
          <w:p w14:paraId="221A95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44" w:type="dxa"/>
            <w:vAlign w:val="center"/>
          </w:tcPr>
          <w:p w14:paraId="034163F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175412C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进城务工人员随迁子女享受购买民办义务教育学校学位人数</w:t>
            </w:r>
          </w:p>
        </w:tc>
        <w:tc>
          <w:tcPr>
            <w:tcW w:w="1603" w:type="dxa"/>
            <w:vAlign w:val="center"/>
          </w:tcPr>
          <w:p w14:paraId="7420A8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454" w:type="dxa"/>
            <w:vAlign w:val="center"/>
          </w:tcPr>
          <w:p w14:paraId="64059F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64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 w14:paraId="2F8D829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vMerge w:val="continue"/>
            <w:tcBorders>
              <w:left w:val="single" w:color="auto" w:sz="4" w:space="0"/>
            </w:tcBorders>
            <w:vAlign w:val="center"/>
          </w:tcPr>
          <w:p w14:paraId="5AD545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vAlign w:val="center"/>
          </w:tcPr>
          <w:p w14:paraId="5693E4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44" w:type="dxa"/>
            <w:vAlign w:val="center"/>
          </w:tcPr>
          <w:p w14:paraId="2516CE8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395AAA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 w14:paraId="52161E0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454" w:type="dxa"/>
            <w:vAlign w:val="center"/>
          </w:tcPr>
          <w:p w14:paraId="29233A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7C7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 w14:paraId="028332E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vMerge w:val="continue"/>
            <w:tcBorders>
              <w:left w:val="single" w:color="auto" w:sz="4" w:space="0"/>
            </w:tcBorders>
            <w:vAlign w:val="center"/>
          </w:tcPr>
          <w:p w14:paraId="5B77E40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vAlign w:val="center"/>
          </w:tcPr>
          <w:p w14:paraId="10277D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44" w:type="dxa"/>
            <w:vAlign w:val="center"/>
          </w:tcPr>
          <w:p w14:paraId="268875D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707E8B2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 w14:paraId="67DC89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54" w:type="dxa"/>
            <w:vAlign w:val="center"/>
          </w:tcPr>
          <w:p w14:paraId="46B0D3A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E74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 w14:paraId="7DED7C4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vAlign w:val="center"/>
          </w:tcPr>
          <w:p w14:paraId="5D8462D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进城务工人员随迁子女</w:t>
            </w:r>
          </w:p>
          <w:p w14:paraId="1138DB98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在流入地参加中考报名</w:t>
            </w:r>
          </w:p>
          <w:p w14:paraId="266822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750" w:type="dxa"/>
            <w:gridSpan w:val="2"/>
            <w:vAlign w:val="center"/>
          </w:tcPr>
          <w:p w14:paraId="7ECC058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 w14:paraId="69CF72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进城务工人员随迁子女在流入地参加高考报名人数</w:t>
            </w:r>
          </w:p>
        </w:tc>
        <w:tc>
          <w:tcPr>
            <w:tcW w:w="3057" w:type="dxa"/>
            <w:gridSpan w:val="2"/>
            <w:vAlign w:val="center"/>
          </w:tcPr>
          <w:p w14:paraId="471E38D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4EDE7C">
      <w:pPr>
        <w:ind w:firstLine="42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注：1、进城务工人员随迁子女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指户籍登记在外省（区、市）、本省外县（区）的乡村，随务工父母到输入地的城区、镇区（同住）并接受义务教育的适龄儿童少年。随迁子女、进城务工人员随迁子女数据应与教育事业统计口径保持一致。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请填报2022年9月开学后数据。</w:t>
      </w:r>
    </w:p>
    <w:sectPr>
      <w:pgSz w:w="16838" w:h="11906" w:orient="landscape"/>
      <w:pgMar w:top="1701" w:right="2098" w:bottom="1701" w:left="1984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D8215-09EF-41C6-B931-BBA0F325E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A77806-0A76-455D-A9F2-247F1AB6E0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7AA505-2F68-4ACD-8E76-1E5C88B337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1EF8825-FBD2-4121-9302-DBE67302F9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84C0570-F624-43B9-BF79-61022DDB90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7BAE177-0637-43F2-B543-CA62F3A422F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2E40CC23-9CE9-4D68-B009-F3019E5D96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E2F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38100</wp:posOffset>
              </wp:positionV>
              <wp:extent cx="394970" cy="3371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970" cy="3371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F65BBA5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pt;height:26.55pt;width:31.1pt;mso-position-horizontal:outside;mso-position-horizontal-relative:margin;z-index:251659264;mso-width-relative:page;mso-height-relative:page;" filled="f" stroked="f" coordsize="21600,21600" o:gfxdata="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HlN5tQAAAAEAQAADwAAAAAAAAABACAAAAAiAAAAZHJzL2Rvd25yZXYueG1s&#10;UEsBAhQAFAAAAAgAh07iQHoanprDAQAAewMAAA4AAAAAAAAAAQAgAAAAIwEAAGRycy9lMm9Eb2Mu&#10;eG1sUEsFBgAAAAAGAAYAWQEAAFg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3F65BBA5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4D832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8438EC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05B6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WI3MTI0NzZhZjZhYjk3MjUzOTJhMDVhYmEzNjAifQ=="/>
  </w:docVars>
  <w:rsids>
    <w:rsidRoot w:val="550E2A38"/>
    <w:rsid w:val="07A80605"/>
    <w:rsid w:val="07E21A8C"/>
    <w:rsid w:val="09FA4786"/>
    <w:rsid w:val="0FDF2A53"/>
    <w:rsid w:val="3153218D"/>
    <w:rsid w:val="3AA06FEA"/>
    <w:rsid w:val="551E34D6"/>
    <w:rsid w:val="58173C82"/>
    <w:rsid w:val="611544DC"/>
    <w:rsid w:val="61EC3C6C"/>
    <w:rsid w:val="63403279"/>
    <w:rsid w:val="7EB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rFonts w:ascii="Calibri" w:hAnsi="Calibri"/>
      <w:color w:val="000000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420"/>
      </w:tabs>
      <w:ind w:left="42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1897</Words>
  <Characters>1958</Characters>
  <Lines>0</Lines>
  <Paragraphs>0</Paragraphs>
  <TotalTime>1</TotalTime>
  <ScaleCrop>false</ScaleCrop>
  <LinksUpToDate>false</LinksUpToDate>
  <CharactersWithSpaces>2116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2022-07-04T02:16:00Z</dcterms:created>
  <dc:creator>Hello桃</dc:creator>
  <cp:lastModifiedBy>枕边书</cp:lastModifiedBy>
  <dcterms:modified xsi:type="dcterms:W3CDTF">2025-03-14T03:00:41Z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4487058CEEBE4CDC813E4E29B2E635A5</vt:lpwstr>
  </property>
  <property fmtid="{D5CDD505-2E9C-101B-9397-08002B2CF9AE}" pid="4" name="KSOTemplateDocerSaveRecord">
    <vt:lpwstr>eyJoZGlkIjoiODA4MjViMTNiYzY5ODQ0ZWQxMjU0Mzk2YjRjOWM2MWQiLCJ1c2VySWQiOiIzNzY0MjMzNzcifQ==</vt:lpwstr>
  </property>
</Properties>
</file>